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E8EA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When teachers move from mainstream education to Special Educational Needs (SEN) education, it involves a significant shift in their professional role, responsibilities, and approach to teaching. This transition can be both rewarding and challenging. Here's a detailed look at what this move entails and the considerations for teachers:</w:t>
      </w:r>
    </w:p>
    <w:p w14:paraId="40F527FC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1. Understanding the Role Change</w:t>
      </w:r>
    </w:p>
    <w:p w14:paraId="180BB342" w14:textId="77777777" w:rsidR="00DF26B9" w:rsidRPr="00DF26B9" w:rsidRDefault="00DF26B9" w:rsidP="00DF26B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Focus on Individual Needs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In SEN education, teachers often work with students who have diverse and complex needs, requiring a more personalized approach. This contrasts with the more standardized teaching methods used in mainstream education.</w:t>
      </w:r>
    </w:p>
    <w:p w14:paraId="13E8B41C" w14:textId="77777777" w:rsidR="00DF26B9" w:rsidRPr="00DF26B9" w:rsidRDefault="00DF26B9" w:rsidP="00DF26B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Broader Skill Set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Teachers need to develop a broader set of skills, including </w:t>
      </w:r>
      <w:r w:rsidR="0086606E"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behaviour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management, emotional support, and specialized teaching strategies tailored to each student’s specific needs.</w:t>
      </w:r>
    </w:p>
    <w:p w14:paraId="61525470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2. Training and Professional Development</w:t>
      </w:r>
    </w:p>
    <w:p w14:paraId="2E7E245B" w14:textId="77777777" w:rsidR="00DF26B9" w:rsidRPr="00DF26B9" w:rsidRDefault="00DF26B9" w:rsidP="00DF26B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Speciali</w:t>
      </w:r>
      <w:r w:rsidR="00AB2AFF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</w:t>
      </w: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ed Training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Teachers moving into SEN often need additional training. This may include courses on autism spectrum disorders, speech and language difficulties, sensory impairments, and other specific needs.</w:t>
      </w:r>
    </w:p>
    <w:p w14:paraId="38457E77" w14:textId="77777777" w:rsidR="00DF26B9" w:rsidRPr="00DF26B9" w:rsidRDefault="00DF26B9" w:rsidP="00DF26B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Continuous Learning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The field of SEN is dynamic, with ongoing developments in understanding and teaching strategies. Teachers need to commit to continuous professional development to stay updated.</w:t>
      </w:r>
    </w:p>
    <w:p w14:paraId="5D11790A" w14:textId="77777777" w:rsidR="00DF26B9" w:rsidRPr="00DF26B9" w:rsidRDefault="00DF26B9" w:rsidP="00DF26B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Understanding Legal and Ethical Considerations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Teachers must be familiar with the legal framework surrounding SEN, such as the Children and Families Act 2014 in the UK, including the processes for creating and implementing Individuali</w:t>
      </w:r>
      <w:r w:rsidR="00AB2AF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ed Education Programs (IEPs) or Education, Health and Care Plans (EHCPs).</w:t>
      </w:r>
    </w:p>
    <w:p w14:paraId="025D5E5C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3. Changes in Teaching Approach</w:t>
      </w:r>
    </w:p>
    <w:p w14:paraId="52F9AE36" w14:textId="77777777" w:rsidR="00DF26B9" w:rsidRPr="00DF26B9" w:rsidRDefault="00DF26B9" w:rsidP="00DF26B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Differentiated Instruction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Teachers need to master differentiated instruction, where lessons are tailored to meet the varying abilities and needs of students within the same class.</w:t>
      </w:r>
    </w:p>
    <w:p w14:paraId="4F9D2FB3" w14:textId="77777777" w:rsidR="00DF26B9" w:rsidRPr="00DF26B9" w:rsidRDefault="00DF26B9" w:rsidP="00DF26B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Use of Assistive Technology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SEN teaching often involves using specialized tools and technologies, such as communication devices, visual aids, and sensory tools, to support learning.</w:t>
      </w:r>
    </w:p>
    <w:p w14:paraId="5C3BCDF4" w14:textId="77777777" w:rsidR="00DF26B9" w:rsidRPr="00DF26B9" w:rsidRDefault="00DF26B9" w:rsidP="00DF26B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Flexible Curriculum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The curriculum in SEN settings is often more flexible, with an emphasis on life skills, social-emotional learning, and functional academics rather than solely on academic achievement.</w:t>
      </w:r>
    </w:p>
    <w:p w14:paraId="7D58E101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4. Working with a Multidisciplinary Team</w:t>
      </w:r>
    </w:p>
    <w:p w14:paraId="55BCDB9F" w14:textId="77777777" w:rsidR="00DF26B9" w:rsidRPr="00DF26B9" w:rsidRDefault="00DF26B9" w:rsidP="00DF26B9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Collaboration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SEN teachers frequently work closely with a multidisciplinary team, including speech therapists, occupational therapists, psychologists, and social workers. Effective collaboration and communication skills are essential.</w:t>
      </w:r>
    </w:p>
    <w:p w14:paraId="49425121" w14:textId="77777777" w:rsidR="00DF26B9" w:rsidRPr="00DF26B9" w:rsidRDefault="00DF26B9" w:rsidP="00DF26B9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lastRenderedPageBreak/>
        <w:t>Parental Involvement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Engaging with parents and caregivers is often more intensive in SEN settings, requiring teachers to build strong relationships and ensure clear, ongoing communication.</w:t>
      </w:r>
    </w:p>
    <w:p w14:paraId="102F4E2F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5. Emotional and Mental Adjustment</w:t>
      </w:r>
    </w:p>
    <w:p w14:paraId="01D729D5" w14:textId="77777777" w:rsidR="00DF26B9" w:rsidRPr="00DF26B9" w:rsidRDefault="00DF26B9" w:rsidP="00DF26B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Emotional Resilience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Working in SEN can be emotionally demanding. Teachers may encounter challenging </w:t>
      </w:r>
      <w:r w:rsidR="0086606E"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behaviours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 emotional distress, and complex family situations. Developing emotional resilience and self-care strategies is crucial.</w:t>
      </w:r>
    </w:p>
    <w:p w14:paraId="366C922B" w14:textId="77777777" w:rsidR="00DF26B9" w:rsidRPr="00DF26B9" w:rsidRDefault="00DF26B9" w:rsidP="00DF26B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Job Satisfaction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Despite the challenges, many teachers find working in SEN education deeply rewarding. The opportunity to make a significant impact on a student's life and to witness their progress can provide a strong sense of </w:t>
      </w:r>
      <w:r w:rsidR="0086606E"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fulfilment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7E304187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6. Adapting to a Different School Culture</w:t>
      </w:r>
    </w:p>
    <w:p w14:paraId="1C4EDAF2" w14:textId="77777777" w:rsidR="00DF26B9" w:rsidRPr="00DF26B9" w:rsidRDefault="00DF26B9" w:rsidP="00DF26B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School Environment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SEN schools often have a different culture and environment compared to mainstream schools. The focus is more on holistic development, including social skills, emotional well-being, and personal independence.</w:t>
      </w:r>
    </w:p>
    <w:p w14:paraId="183235FB" w14:textId="77777777" w:rsidR="00DF26B9" w:rsidRPr="00DF26B9" w:rsidRDefault="00DF26B9" w:rsidP="00DF26B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Smaller Class Sizes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Teachers in SEN settings typically work with smaller class sizes, allowing for more individualized attention and a stronger focus on each student’s needs.</w:t>
      </w:r>
    </w:p>
    <w:p w14:paraId="594D9D46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7. Challenges and Considerations</w:t>
      </w:r>
    </w:p>
    <w:p w14:paraId="11975E06" w14:textId="77777777" w:rsidR="00DF26B9" w:rsidRPr="00DF26B9" w:rsidRDefault="00DF26B9" w:rsidP="00DF26B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Managing Expectations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Progress in SEN settings can be slower and less linear compared to mainstream education. Teachers need to adjust their expectations and recognize that success may look different for each student.</w:t>
      </w:r>
    </w:p>
    <w:p w14:paraId="76FECC9D" w14:textId="77777777" w:rsidR="00DF26B9" w:rsidRPr="00DF26B9" w:rsidRDefault="00DF26B9" w:rsidP="00DF26B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Resource Limitations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Some SEN settings may face resource constraints, which can impact the availability of teaching aids, support staff, and other resources.</w:t>
      </w:r>
    </w:p>
    <w:p w14:paraId="27FCAB55" w14:textId="77777777" w:rsidR="00DF26B9" w:rsidRPr="00DF26B9" w:rsidRDefault="00DF26B9" w:rsidP="00DF26B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Career Path and Opportunities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Moving into SEN can open up new career pathways, such as becoming a specialist teacher, SEN coordinator, or working in educational psychology or therapy.</w:t>
      </w:r>
    </w:p>
    <w:p w14:paraId="23459EF1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8. Support and Mentorship</w:t>
      </w:r>
    </w:p>
    <w:p w14:paraId="40EF4CD5" w14:textId="77777777" w:rsidR="00DF26B9" w:rsidRPr="00DF26B9" w:rsidRDefault="00DF26B9" w:rsidP="00DF26B9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Seeking Support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New SEN teachers should seek mentorship and support from experienced colleagues. This can help with adjusting to the new demands and learning best practices.</w:t>
      </w:r>
    </w:p>
    <w:p w14:paraId="37635395" w14:textId="77777777" w:rsidR="00DF26B9" w:rsidRPr="00DF26B9" w:rsidRDefault="00DF26B9" w:rsidP="00DF26B9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Professional Networks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Joining professional networks or associations focused on SEN can provide valuable resources, support, and opportunities for collaboration.</w:t>
      </w:r>
    </w:p>
    <w:p w14:paraId="788A4A8D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DF26B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Conclusion</w:t>
      </w:r>
    </w:p>
    <w:p w14:paraId="6C5AF1BD" w14:textId="77777777" w:rsidR="00DF26B9" w:rsidRPr="00DF26B9" w:rsidRDefault="00DF26B9" w:rsidP="00DF26B9">
      <w:pP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Transitioning from mainstream to SEN education is a significant step that requires adaptability, a willingness to learn, and a strong commitment to supporting students with diverse needs. For teachers who are passionate about making a difference, this move can be </w:t>
      </w: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lastRenderedPageBreak/>
        <w:t>incredibly rewarding, offering new challenges and opportunities to grow both professionally and personally.</w:t>
      </w:r>
    </w:p>
    <w:p w14:paraId="77F8DCDD" w14:textId="77777777" w:rsidR="00DF26B9" w:rsidRPr="00DF26B9" w:rsidRDefault="00DF26B9" w:rsidP="00DF26B9">
      <w:pPr>
        <w:spacing w:line="240" w:lineRule="auto"/>
        <w:jc w:val="lef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F26B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4o</w:t>
      </w:r>
    </w:p>
    <w:p w14:paraId="213DF835" w14:textId="77777777" w:rsidR="00134BCF" w:rsidRPr="00DF26B9" w:rsidRDefault="00134BCF">
      <w:pPr>
        <w:rPr>
          <w:rFonts w:cstheme="minorHAnsi"/>
        </w:rPr>
      </w:pPr>
    </w:p>
    <w:sectPr w:rsidR="00134BCF" w:rsidRPr="00DF2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926"/>
    <w:multiLevelType w:val="multilevel"/>
    <w:tmpl w:val="BAC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31DE9"/>
    <w:multiLevelType w:val="multilevel"/>
    <w:tmpl w:val="5D28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14EA1"/>
    <w:multiLevelType w:val="multilevel"/>
    <w:tmpl w:val="8DD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B74E7"/>
    <w:multiLevelType w:val="multilevel"/>
    <w:tmpl w:val="099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D3C41"/>
    <w:multiLevelType w:val="multilevel"/>
    <w:tmpl w:val="9F8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B6AD7"/>
    <w:multiLevelType w:val="multilevel"/>
    <w:tmpl w:val="EC5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67CC6"/>
    <w:multiLevelType w:val="multilevel"/>
    <w:tmpl w:val="1228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B06C8"/>
    <w:multiLevelType w:val="multilevel"/>
    <w:tmpl w:val="893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300867">
    <w:abstractNumId w:val="2"/>
  </w:num>
  <w:num w:numId="2" w16cid:durableId="104429550">
    <w:abstractNumId w:val="7"/>
  </w:num>
  <w:num w:numId="3" w16cid:durableId="867183102">
    <w:abstractNumId w:val="5"/>
  </w:num>
  <w:num w:numId="4" w16cid:durableId="217714463">
    <w:abstractNumId w:val="4"/>
  </w:num>
  <w:num w:numId="5" w16cid:durableId="192770733">
    <w:abstractNumId w:val="6"/>
  </w:num>
  <w:num w:numId="6" w16cid:durableId="590896705">
    <w:abstractNumId w:val="3"/>
  </w:num>
  <w:num w:numId="7" w16cid:durableId="1564483151">
    <w:abstractNumId w:val="1"/>
  </w:num>
  <w:num w:numId="8" w16cid:durableId="71265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9"/>
    <w:rsid w:val="00134BCF"/>
    <w:rsid w:val="0086606E"/>
    <w:rsid w:val="00AB2AFF"/>
    <w:rsid w:val="00AF4730"/>
    <w:rsid w:val="00B1745A"/>
    <w:rsid w:val="00B94719"/>
    <w:rsid w:val="00C36E3E"/>
    <w:rsid w:val="00DF26B9"/>
    <w:rsid w:val="00E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1075"/>
  <w15:chartTrackingRefBased/>
  <w15:docId w15:val="{31B3791C-5FC2-467E-A934-F3EFED7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 Boakes</dc:creator>
  <cp:keywords/>
  <dc:description/>
  <cp:lastModifiedBy>Gary Risley</cp:lastModifiedBy>
  <cp:revision>2</cp:revision>
  <dcterms:created xsi:type="dcterms:W3CDTF">2024-09-10T05:27:00Z</dcterms:created>
  <dcterms:modified xsi:type="dcterms:W3CDTF">2024-09-10T05:27:00Z</dcterms:modified>
</cp:coreProperties>
</file>